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6A43" w14:textId="0B9DC554" w:rsidR="005A0879" w:rsidRPr="00A31B71" w:rsidRDefault="005A0879" w:rsidP="005A0879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31B71">
        <w:rPr>
          <w:rFonts w:ascii="Arial" w:hAnsi="Arial" w:cs="Arial"/>
          <w:b/>
          <w:bCs/>
          <w:color w:val="000000" w:themeColor="text1"/>
          <w:sz w:val="24"/>
          <w:szCs w:val="24"/>
        </w:rPr>
        <w:t>LEI Nº 26</w:t>
      </w:r>
      <w:r w:rsidR="00A31B71" w:rsidRPr="00A31B7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A31B7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/2025 </w:t>
      </w:r>
      <w:r w:rsidRPr="00A31B71">
        <w:rPr>
          <w:rFonts w:ascii="Arial" w:eastAsia="Times New Roman" w:hAnsi="Arial" w:cs="Arial"/>
          <w:b/>
          <w:bCs/>
          <w:sz w:val="24"/>
          <w:szCs w:val="24"/>
        </w:rPr>
        <w:t>DE 1</w:t>
      </w:r>
      <w:r w:rsidR="00A31B71" w:rsidRPr="00A31B71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A31B71">
        <w:rPr>
          <w:rFonts w:ascii="Arial" w:eastAsia="Times New Roman" w:hAnsi="Arial" w:cs="Arial"/>
          <w:b/>
          <w:bCs/>
          <w:sz w:val="24"/>
          <w:szCs w:val="24"/>
        </w:rPr>
        <w:t xml:space="preserve"> DE M</w:t>
      </w:r>
      <w:r w:rsidR="00A31B71" w:rsidRPr="00A31B71">
        <w:rPr>
          <w:rFonts w:ascii="Arial" w:eastAsia="Times New Roman" w:hAnsi="Arial" w:cs="Arial"/>
          <w:b/>
          <w:bCs/>
          <w:sz w:val="24"/>
          <w:szCs w:val="24"/>
        </w:rPr>
        <w:t>AIO</w:t>
      </w:r>
      <w:r w:rsidRPr="00A31B71">
        <w:rPr>
          <w:rFonts w:ascii="Arial" w:eastAsia="Times New Roman" w:hAnsi="Arial" w:cs="Arial"/>
          <w:b/>
          <w:bCs/>
          <w:sz w:val="24"/>
          <w:szCs w:val="24"/>
        </w:rPr>
        <w:t xml:space="preserve"> DE 2025</w:t>
      </w:r>
    </w:p>
    <w:p w14:paraId="499467EB" w14:textId="77777777" w:rsidR="00A31B71" w:rsidRPr="00A31B71" w:rsidRDefault="00A31B71" w:rsidP="005A0879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1453F6" w14:textId="77777777" w:rsidR="00A31B71" w:rsidRPr="00A31B71" w:rsidRDefault="00A31B71" w:rsidP="00A31B71">
      <w:pPr>
        <w:pStyle w:val="Standard"/>
        <w:spacing w:line="276" w:lineRule="auto"/>
        <w:ind w:left="3969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“Dispõe sobre a consignação em folha de pagamento de servidor público ativo do Município de Governador Luiz Rocha/MA, no âmbito do Poder Legislativo Municipal, e dá outras providências.”</w:t>
      </w:r>
    </w:p>
    <w:p w14:paraId="4C9E156B" w14:textId="77777777" w:rsidR="00A31B71" w:rsidRPr="00A31B71" w:rsidRDefault="00A31B71" w:rsidP="00A31B71">
      <w:pPr>
        <w:pStyle w:val="Standard"/>
        <w:spacing w:line="276" w:lineRule="auto"/>
        <w:ind w:left="3969"/>
        <w:jc w:val="both"/>
        <w:rPr>
          <w:rFonts w:ascii="Arial" w:hAnsi="Arial" w:cs="Arial"/>
        </w:rPr>
      </w:pPr>
    </w:p>
    <w:p w14:paraId="190E165B" w14:textId="77777777" w:rsidR="005A0879" w:rsidRPr="00A31B71" w:rsidRDefault="005A0879" w:rsidP="005A0879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31B71">
        <w:rPr>
          <w:rFonts w:ascii="Arial" w:hAnsi="Arial" w:cs="Arial"/>
          <w:sz w:val="24"/>
          <w:szCs w:val="24"/>
          <w:lang w:eastAsia="ar-SA"/>
        </w:rPr>
        <w:t xml:space="preserve">O PREFEITO MUNICIPAL DE GOVERNADOR LUIZ ROCHA, Estado do Maranhão, no uso de suas atribuições legais, faz saber a todos os habitantes do município que a Câmara Municipal de Governador Luiz Rocha -MA </w:t>
      </w:r>
      <w:r w:rsidRPr="00A31B71">
        <w:rPr>
          <w:rFonts w:ascii="Arial" w:hAnsi="Arial" w:cs="Arial"/>
          <w:b/>
          <w:bCs/>
          <w:sz w:val="24"/>
          <w:szCs w:val="24"/>
          <w:lang w:eastAsia="ar-SA"/>
        </w:rPr>
        <w:t>aprovou e eu sanciono e promulgo</w:t>
      </w:r>
      <w:r w:rsidRPr="00A31B71">
        <w:rPr>
          <w:rFonts w:ascii="Arial" w:hAnsi="Arial" w:cs="Arial"/>
          <w:sz w:val="24"/>
          <w:szCs w:val="24"/>
          <w:lang w:eastAsia="ar-SA"/>
        </w:rPr>
        <w:t xml:space="preserve"> a seguinte Lei</w:t>
      </w:r>
      <w:r w:rsidRPr="00A31B71">
        <w:rPr>
          <w:rFonts w:ascii="Arial" w:hAnsi="Arial" w:cs="Arial"/>
          <w:b/>
          <w:sz w:val="24"/>
          <w:szCs w:val="24"/>
          <w:lang w:eastAsia="ar-SA"/>
        </w:rPr>
        <w:t xml:space="preserve">: </w:t>
      </w:r>
    </w:p>
    <w:p w14:paraId="30936F84" w14:textId="22D4B96D" w:rsidR="00A31B71" w:rsidRPr="00A31B71" w:rsidRDefault="00A31B71" w:rsidP="00A31B71">
      <w:pPr>
        <w:pStyle w:val="Standard"/>
        <w:spacing w:line="276" w:lineRule="auto"/>
        <w:ind w:left="3969"/>
        <w:jc w:val="both"/>
        <w:rPr>
          <w:rFonts w:ascii="Arial" w:hAnsi="Arial" w:cs="Arial"/>
          <w:b/>
          <w:bCs/>
        </w:rPr>
      </w:pPr>
    </w:p>
    <w:p w14:paraId="2329D5B3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>Art. 1º</w:t>
      </w:r>
      <w:r w:rsidRPr="00A31B71">
        <w:rPr>
          <w:rFonts w:ascii="Arial" w:hAnsi="Arial" w:cs="Arial"/>
        </w:rPr>
        <w:t xml:space="preserve"> Fica o Poder Legislativo Municipal autorizado a celebrar convênios com Instituições Financeiras autorizadas a funcionar pelo Banco Central do Brasil, para consignação em folha de pagamento de empréstimos e financiamentos realizados pelos servidores públicos ativos, vinculados ao Poder Legislativo Municipal.</w:t>
      </w:r>
    </w:p>
    <w:p w14:paraId="16F7F717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41CEF6A3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2º </w:t>
      </w:r>
      <w:r w:rsidRPr="00A31B71">
        <w:rPr>
          <w:rFonts w:ascii="Arial" w:hAnsi="Arial" w:cs="Arial"/>
        </w:rPr>
        <w:t>Os órgãos e as entidades da administração direta e autárquica do Poder Legislativo Municipal obedecerão às disposições desta Lei, para a efetivação de consignações facultativas em folha de pagamento dos servidores ativos.</w:t>
      </w:r>
    </w:p>
    <w:p w14:paraId="3BD8976B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F35B34B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3º </w:t>
      </w:r>
      <w:r w:rsidRPr="00A31B71">
        <w:rPr>
          <w:rFonts w:ascii="Arial" w:hAnsi="Arial" w:cs="Arial"/>
        </w:rPr>
        <w:t>Para os fins desta Lei, consideram-se:</w:t>
      </w:r>
    </w:p>
    <w:p w14:paraId="4A2C32C4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 - </w:t>
      </w:r>
      <w:proofErr w:type="gramStart"/>
      <w:r w:rsidRPr="00A31B71">
        <w:rPr>
          <w:rFonts w:ascii="Arial" w:hAnsi="Arial" w:cs="Arial"/>
        </w:rPr>
        <w:t>consignatário</w:t>
      </w:r>
      <w:proofErr w:type="gramEnd"/>
      <w:r w:rsidRPr="00A31B71">
        <w:rPr>
          <w:rFonts w:ascii="Arial" w:hAnsi="Arial" w:cs="Arial"/>
        </w:rPr>
        <w:t>: destinatário dos créditos resultantes das consignações compulsórias e facultativas, descontadas em folha de pagamento do consignado;</w:t>
      </w:r>
    </w:p>
    <w:p w14:paraId="1CA4600C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II - </w:t>
      </w:r>
      <w:proofErr w:type="gramStart"/>
      <w:r w:rsidRPr="00A31B71">
        <w:rPr>
          <w:rFonts w:ascii="Arial" w:hAnsi="Arial" w:cs="Arial"/>
        </w:rPr>
        <w:t>consignado</w:t>
      </w:r>
      <w:proofErr w:type="gramEnd"/>
      <w:r w:rsidRPr="00A31B71">
        <w:rPr>
          <w:rFonts w:ascii="Arial" w:hAnsi="Arial" w:cs="Arial"/>
        </w:rPr>
        <w:t>: servidor público ativo, inativo e pensionista, vinculado a órgão ou entidade da administração direta ou autárquica do Município de Governador Luiz Rocha, Estado do Maranhão;</w:t>
      </w:r>
    </w:p>
    <w:p w14:paraId="690573D7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III - interveniente consignante: órgão ou entidade da administração direta ou autárquica do Poder Legislativo Municipal que procede aos descontos relativos às consignações compulsórias e facultativas na ficha financeira dos servidores ativos, inativos, e pensionistas, em favor da consignatária.</w:t>
      </w:r>
    </w:p>
    <w:p w14:paraId="1139E3E3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IV - </w:t>
      </w:r>
      <w:proofErr w:type="gramStart"/>
      <w:r w:rsidRPr="00A31B71">
        <w:rPr>
          <w:rFonts w:ascii="Arial" w:hAnsi="Arial" w:cs="Arial"/>
        </w:rPr>
        <w:t>margem</w:t>
      </w:r>
      <w:proofErr w:type="gramEnd"/>
      <w:r w:rsidRPr="00A31B71">
        <w:rPr>
          <w:rFonts w:ascii="Arial" w:hAnsi="Arial" w:cs="Arial"/>
        </w:rPr>
        <w:t xml:space="preserve"> consignável: parcela da remuneração que o consignado pode destinar para averbação e desconto de consignação facultativa;</w:t>
      </w:r>
    </w:p>
    <w:p w14:paraId="74E83AB4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0C20F0EC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lastRenderedPageBreak/>
        <w:t>Art. 4º</w:t>
      </w:r>
      <w:r w:rsidRPr="00A31B71">
        <w:rPr>
          <w:rFonts w:ascii="Arial" w:hAnsi="Arial" w:cs="Arial"/>
        </w:rPr>
        <w:t xml:space="preserve"> Consignação facultativa é o desconto incidente sobre a remuneração, efetuado mediante autorização formal do consignado, para custear:</w:t>
      </w:r>
    </w:p>
    <w:p w14:paraId="66C7460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 - </w:t>
      </w:r>
      <w:proofErr w:type="gramStart"/>
      <w:r w:rsidRPr="00A31B71">
        <w:rPr>
          <w:rFonts w:ascii="Arial" w:hAnsi="Arial" w:cs="Arial"/>
        </w:rPr>
        <w:t>mensalidade</w:t>
      </w:r>
      <w:proofErr w:type="gramEnd"/>
      <w:r w:rsidRPr="00A31B71">
        <w:rPr>
          <w:rFonts w:ascii="Arial" w:hAnsi="Arial" w:cs="Arial"/>
        </w:rPr>
        <w:t xml:space="preserve"> a favor de entidade sindical;</w:t>
      </w:r>
    </w:p>
    <w:p w14:paraId="05D57E04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II - </w:t>
      </w:r>
      <w:proofErr w:type="gramStart"/>
      <w:r w:rsidRPr="00A31B71">
        <w:rPr>
          <w:rFonts w:ascii="Arial" w:hAnsi="Arial" w:cs="Arial"/>
        </w:rPr>
        <w:t>mensalidade</w:t>
      </w:r>
      <w:proofErr w:type="gramEnd"/>
      <w:r w:rsidRPr="00A31B71">
        <w:rPr>
          <w:rFonts w:ascii="Arial" w:hAnsi="Arial" w:cs="Arial"/>
        </w:rPr>
        <w:t xml:space="preserve"> a favor de entidade associativa;</w:t>
      </w:r>
    </w:p>
    <w:p w14:paraId="6A501746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III - empréstimo e financiamento junto à Instituição Bancária;</w:t>
      </w:r>
    </w:p>
    <w:p w14:paraId="1D99BEA2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IV - </w:t>
      </w:r>
      <w:proofErr w:type="gramStart"/>
      <w:r w:rsidRPr="00A31B71">
        <w:rPr>
          <w:rFonts w:ascii="Arial" w:hAnsi="Arial" w:cs="Arial"/>
        </w:rPr>
        <w:t>empréstimo</w:t>
      </w:r>
      <w:proofErr w:type="gramEnd"/>
      <w:r w:rsidRPr="00A31B71">
        <w:rPr>
          <w:rFonts w:ascii="Arial" w:hAnsi="Arial" w:cs="Arial"/>
        </w:rPr>
        <w:t xml:space="preserve"> pessoal obtido junto à Cooperativa de Crédito;</w:t>
      </w:r>
    </w:p>
    <w:p w14:paraId="2E331D67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V - </w:t>
      </w:r>
      <w:proofErr w:type="gramStart"/>
      <w:r w:rsidRPr="00A31B71">
        <w:rPr>
          <w:rFonts w:ascii="Arial" w:hAnsi="Arial" w:cs="Arial"/>
        </w:rPr>
        <w:t>outros</w:t>
      </w:r>
      <w:proofErr w:type="gramEnd"/>
      <w:r w:rsidRPr="00A31B71">
        <w:rPr>
          <w:rFonts w:ascii="Arial" w:hAnsi="Arial" w:cs="Arial"/>
        </w:rPr>
        <w:t xml:space="preserve"> descontos autorizados pelo servidor ativo, inativo ou pensionista.</w:t>
      </w:r>
    </w:p>
    <w:p w14:paraId="79FBB60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48825067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5º </w:t>
      </w:r>
      <w:r w:rsidRPr="00A31B71">
        <w:rPr>
          <w:rFonts w:ascii="Arial" w:hAnsi="Arial" w:cs="Arial"/>
        </w:rPr>
        <w:t>Consignação compulsória é o desconto incidente sobre a remuneração, efetuado por força de lei ou decisão judicial, compreendendo:</w:t>
      </w:r>
    </w:p>
    <w:p w14:paraId="4A536BFD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 - </w:t>
      </w:r>
      <w:proofErr w:type="gramStart"/>
      <w:r w:rsidRPr="00A31B71">
        <w:rPr>
          <w:rFonts w:ascii="Arial" w:hAnsi="Arial" w:cs="Arial"/>
        </w:rPr>
        <w:t>pensão</w:t>
      </w:r>
      <w:proofErr w:type="gramEnd"/>
      <w:r w:rsidRPr="00A31B71">
        <w:rPr>
          <w:rFonts w:ascii="Arial" w:hAnsi="Arial" w:cs="Arial"/>
        </w:rPr>
        <w:t xml:space="preserve"> alimentícia fixada e determinada em juízo;</w:t>
      </w:r>
    </w:p>
    <w:p w14:paraId="7D62AA50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II - </w:t>
      </w:r>
      <w:proofErr w:type="gramStart"/>
      <w:r w:rsidRPr="00A31B71">
        <w:rPr>
          <w:rFonts w:ascii="Arial" w:hAnsi="Arial" w:cs="Arial"/>
        </w:rPr>
        <w:t>cumprimento</w:t>
      </w:r>
      <w:proofErr w:type="gramEnd"/>
      <w:r w:rsidRPr="00A31B71">
        <w:rPr>
          <w:rFonts w:ascii="Arial" w:hAnsi="Arial" w:cs="Arial"/>
        </w:rPr>
        <w:t xml:space="preserve"> de decisão judicial.</w:t>
      </w:r>
    </w:p>
    <w:p w14:paraId="4D2CC45C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4975DCA8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6º </w:t>
      </w:r>
      <w:r w:rsidRPr="00A31B71">
        <w:rPr>
          <w:rFonts w:ascii="Arial" w:hAnsi="Arial" w:cs="Arial"/>
        </w:rPr>
        <w:t>A margem consignável é o percentual correspondente a 45% (quarenta e cinco por cento) aplicável sobre a parcela dos vencimentos, salários, proventos e pensões percebidas no mês, compreendendo o padrão de vencimentos acrescido das vantagens pecuniárias que a ele se integram nos termos da Lei ou de outros atos concessivos, as vantagens incorporadas, os adicionais de caráter individual, bem assim as vantagens pessoais ou as fixadas para o cargo de forma permanente por legislação específica descontando as consignações facultativas já contraídas pelo consignado.</w:t>
      </w:r>
    </w:p>
    <w:p w14:paraId="499EEDB3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111CF9B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§ 1º O valor da remuneração, provento ou pensão mensal, após a aplicação da dedução dos valores correspondentes as consignações compulsórias, corresponderá à base de cálculo de margem de consignação facultativa.</w:t>
      </w:r>
    </w:p>
    <w:p w14:paraId="53565682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324193F7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§ 2º Não se incluem, para efeito de aferição da margem consignável, os valores correspondentes a:</w:t>
      </w:r>
    </w:p>
    <w:p w14:paraId="18D6434C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 - </w:t>
      </w:r>
      <w:proofErr w:type="gramStart"/>
      <w:r w:rsidRPr="00A31B71">
        <w:rPr>
          <w:rFonts w:ascii="Arial" w:hAnsi="Arial" w:cs="Arial"/>
        </w:rPr>
        <w:t>diárias</w:t>
      </w:r>
      <w:proofErr w:type="gramEnd"/>
      <w:r w:rsidRPr="00A31B71">
        <w:rPr>
          <w:rFonts w:ascii="Arial" w:hAnsi="Arial" w:cs="Arial"/>
        </w:rPr>
        <w:t>;</w:t>
      </w:r>
    </w:p>
    <w:p w14:paraId="6EE088E8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II - </w:t>
      </w:r>
      <w:proofErr w:type="gramStart"/>
      <w:r w:rsidRPr="00A31B71">
        <w:rPr>
          <w:rFonts w:ascii="Arial" w:hAnsi="Arial" w:cs="Arial"/>
        </w:rPr>
        <w:t>salário-família</w:t>
      </w:r>
      <w:proofErr w:type="gramEnd"/>
      <w:r w:rsidRPr="00A31B71">
        <w:rPr>
          <w:rFonts w:ascii="Arial" w:hAnsi="Arial" w:cs="Arial"/>
        </w:rPr>
        <w:t>;</w:t>
      </w:r>
    </w:p>
    <w:p w14:paraId="36F1255E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III - décimo terceiro salário;</w:t>
      </w:r>
    </w:p>
    <w:p w14:paraId="5C334F0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IV - </w:t>
      </w:r>
      <w:proofErr w:type="gramStart"/>
      <w:r w:rsidRPr="00A31B71">
        <w:rPr>
          <w:rFonts w:ascii="Arial" w:hAnsi="Arial" w:cs="Arial"/>
        </w:rPr>
        <w:t>adicional</w:t>
      </w:r>
      <w:proofErr w:type="gramEnd"/>
      <w:r w:rsidRPr="00A31B71">
        <w:rPr>
          <w:rFonts w:ascii="Arial" w:hAnsi="Arial" w:cs="Arial"/>
        </w:rPr>
        <w:t xml:space="preserve"> de férias, correspondente a um terço sobre a remuneração ou férias em pecúnia;</w:t>
      </w:r>
    </w:p>
    <w:p w14:paraId="376ABA9F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V - </w:t>
      </w:r>
      <w:proofErr w:type="gramStart"/>
      <w:r w:rsidRPr="00A31B71">
        <w:rPr>
          <w:rFonts w:ascii="Arial" w:hAnsi="Arial" w:cs="Arial"/>
        </w:rPr>
        <w:t>adicional</w:t>
      </w:r>
      <w:proofErr w:type="gramEnd"/>
      <w:r w:rsidRPr="00A31B71">
        <w:rPr>
          <w:rFonts w:ascii="Arial" w:hAnsi="Arial" w:cs="Arial"/>
        </w:rPr>
        <w:t xml:space="preserve"> pela prestação de serviço extraordinário, sobreaviso ou hora de plantão;</w:t>
      </w:r>
    </w:p>
    <w:p w14:paraId="148636C3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VI - </w:t>
      </w:r>
      <w:proofErr w:type="gramStart"/>
      <w:r w:rsidRPr="00A31B71">
        <w:rPr>
          <w:rFonts w:ascii="Arial" w:hAnsi="Arial" w:cs="Arial"/>
        </w:rPr>
        <w:t>adicional</w:t>
      </w:r>
      <w:proofErr w:type="gramEnd"/>
      <w:r w:rsidRPr="00A31B71">
        <w:rPr>
          <w:rFonts w:ascii="Arial" w:hAnsi="Arial" w:cs="Arial"/>
        </w:rPr>
        <w:t xml:space="preserve"> noturno;</w:t>
      </w:r>
    </w:p>
    <w:p w14:paraId="7BEF97E0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VII - adicional de insalubridade, periculosidade ou atividades penosas;</w:t>
      </w:r>
    </w:p>
    <w:p w14:paraId="31A25FB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VIII - funções gratificadas;</w:t>
      </w:r>
    </w:p>
    <w:p w14:paraId="3D3DD1C2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 xml:space="preserve">IX - </w:t>
      </w:r>
      <w:proofErr w:type="gramStart"/>
      <w:r w:rsidRPr="00A31B71">
        <w:rPr>
          <w:rFonts w:ascii="Arial" w:hAnsi="Arial" w:cs="Arial"/>
        </w:rPr>
        <w:t>horas</w:t>
      </w:r>
      <w:proofErr w:type="gramEnd"/>
      <w:r w:rsidRPr="00A31B71">
        <w:rPr>
          <w:rFonts w:ascii="Arial" w:hAnsi="Arial" w:cs="Arial"/>
        </w:rPr>
        <w:t xml:space="preserve"> extras;</w:t>
      </w:r>
    </w:p>
    <w:p w14:paraId="07A4CBC2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lastRenderedPageBreak/>
        <w:t xml:space="preserve">X - </w:t>
      </w:r>
      <w:proofErr w:type="gramStart"/>
      <w:r w:rsidRPr="00A31B71">
        <w:rPr>
          <w:rFonts w:ascii="Arial" w:hAnsi="Arial" w:cs="Arial"/>
        </w:rPr>
        <w:t>abonos</w:t>
      </w:r>
      <w:proofErr w:type="gramEnd"/>
      <w:r w:rsidRPr="00A31B71">
        <w:rPr>
          <w:rFonts w:ascii="Arial" w:hAnsi="Arial" w:cs="Arial"/>
        </w:rPr>
        <w:t>;</w:t>
      </w:r>
    </w:p>
    <w:p w14:paraId="5829818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XI - demais verbas de caráter não permanente.</w:t>
      </w:r>
    </w:p>
    <w:p w14:paraId="4B5A1C43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5AFB0D7B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7º </w:t>
      </w:r>
      <w:r w:rsidRPr="00A31B71">
        <w:rPr>
          <w:rFonts w:ascii="Arial" w:hAnsi="Arial" w:cs="Arial"/>
        </w:rPr>
        <w:t>As consignatárias poderão ofertar operações de consignado no prazo máximo de 96 de meses.</w:t>
      </w:r>
    </w:p>
    <w:p w14:paraId="6C410B09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</w:rPr>
        <w:t>Parágrafo Único: No caso do(a) vereador(a) não ser reeleito(a) e restarem parcelas a vencer, o saldo devedor deverá se tornar empréstimo pessoal, exonerando-se a Câmara Municipal de quaisquer obrigações.</w:t>
      </w:r>
    </w:p>
    <w:p w14:paraId="165152EE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48E73546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8º </w:t>
      </w:r>
      <w:r w:rsidRPr="00A31B71">
        <w:rPr>
          <w:rFonts w:ascii="Arial" w:hAnsi="Arial" w:cs="Arial"/>
        </w:rPr>
        <w:t>A averbação da consignação e seu respectivo desconto em folha de pagamento, não implicam responsabilidade da Câmara Municipal de Vereadores de Governador Luiz Rocha/MA, por dívida, inadimplência, desistência ou pendência de qualquer natureza, assumidas pelo consignado perante o consignatário.</w:t>
      </w:r>
    </w:p>
    <w:p w14:paraId="68F39CD6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64D4B8D9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  <w:r w:rsidRPr="00A31B71">
        <w:rPr>
          <w:rFonts w:ascii="Arial" w:hAnsi="Arial" w:cs="Arial"/>
          <w:b/>
          <w:bCs/>
        </w:rPr>
        <w:t xml:space="preserve">Art. 9º </w:t>
      </w:r>
      <w:r w:rsidRPr="00A31B71">
        <w:rPr>
          <w:rFonts w:ascii="Arial" w:hAnsi="Arial" w:cs="Arial"/>
        </w:rPr>
        <w:t>Esta Lei entra em vigor na data de sua publicação, revogando-se as disposições em contrário.</w:t>
      </w:r>
    </w:p>
    <w:p w14:paraId="4FC4476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37F33951" w14:textId="77777777" w:rsidR="00A31B71" w:rsidRPr="00A31B71" w:rsidRDefault="00A31B71" w:rsidP="00A31B71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6AA0282B" w14:textId="173FDE2B" w:rsidR="005A0879" w:rsidRPr="00A31B71" w:rsidRDefault="005A0879" w:rsidP="00A31B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31B71">
        <w:rPr>
          <w:rFonts w:ascii="Arial" w:hAnsi="Arial" w:cs="Arial"/>
          <w:sz w:val="24"/>
          <w:szCs w:val="24"/>
        </w:rPr>
        <w:t xml:space="preserve">Gabinete do prefeito de Governador Luiz Rocha - MA, </w:t>
      </w:r>
      <w:r w:rsidR="00A31B71">
        <w:rPr>
          <w:rFonts w:ascii="Arial" w:hAnsi="Arial" w:cs="Arial"/>
          <w:sz w:val="24"/>
          <w:szCs w:val="24"/>
        </w:rPr>
        <w:t xml:space="preserve">14 maio </w:t>
      </w:r>
      <w:r w:rsidRPr="00A31B71">
        <w:rPr>
          <w:rFonts w:ascii="Arial" w:hAnsi="Arial" w:cs="Arial"/>
          <w:sz w:val="24"/>
          <w:szCs w:val="24"/>
        </w:rPr>
        <w:t xml:space="preserve">de 2025. </w:t>
      </w:r>
    </w:p>
    <w:p w14:paraId="1D31E8AB" w14:textId="77777777" w:rsidR="005A0879" w:rsidRPr="00A31B71" w:rsidRDefault="005A0879" w:rsidP="005A0879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</w:p>
    <w:p w14:paraId="1EB7A2F1" w14:textId="77777777" w:rsidR="005A0879" w:rsidRDefault="005A0879" w:rsidP="005A0879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</w:p>
    <w:p w14:paraId="52C20D6D" w14:textId="77777777" w:rsidR="00A31B71" w:rsidRPr="00A31B71" w:rsidRDefault="00A31B71" w:rsidP="005A0879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</w:p>
    <w:p w14:paraId="05F2C195" w14:textId="77777777" w:rsidR="005A0879" w:rsidRPr="00A31B71" w:rsidRDefault="005A0879" w:rsidP="005A08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1B71">
        <w:rPr>
          <w:rFonts w:ascii="Arial" w:hAnsi="Arial" w:cs="Arial"/>
          <w:sz w:val="24"/>
          <w:szCs w:val="24"/>
        </w:rPr>
        <w:t>JOSÉ ORLANILDO SOARES DE OLIVEIRA</w:t>
      </w:r>
    </w:p>
    <w:p w14:paraId="4CF9364A" w14:textId="77777777" w:rsidR="005A0879" w:rsidRPr="00A31B71" w:rsidRDefault="005A0879" w:rsidP="005A08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1B71">
        <w:rPr>
          <w:rFonts w:ascii="Arial" w:hAnsi="Arial" w:cs="Arial"/>
          <w:sz w:val="24"/>
          <w:szCs w:val="24"/>
        </w:rPr>
        <w:t>Prefeito</w:t>
      </w:r>
    </w:p>
    <w:p w14:paraId="0FA48176" w14:textId="77777777" w:rsidR="005A0879" w:rsidRPr="00A31B71" w:rsidRDefault="005A0879" w:rsidP="005A0879">
      <w:pPr>
        <w:rPr>
          <w:rFonts w:ascii="Arial" w:hAnsi="Arial" w:cs="Arial"/>
          <w:sz w:val="24"/>
          <w:szCs w:val="24"/>
        </w:rPr>
      </w:pPr>
    </w:p>
    <w:p w14:paraId="676D4A7D" w14:textId="77777777" w:rsidR="00902E8D" w:rsidRPr="00A31B71" w:rsidRDefault="00902E8D">
      <w:pPr>
        <w:rPr>
          <w:rFonts w:ascii="Arial" w:hAnsi="Arial" w:cs="Arial"/>
          <w:sz w:val="24"/>
          <w:szCs w:val="24"/>
        </w:rPr>
      </w:pPr>
    </w:p>
    <w:sectPr w:rsidR="00902E8D" w:rsidRPr="00A31B71" w:rsidSect="005A0879">
      <w:headerReference w:type="default" r:id="rId4"/>
      <w:footerReference w:type="default" r:id="rId5"/>
      <w:pgSz w:w="11906" w:h="16838"/>
      <w:pgMar w:top="1134" w:right="1134" w:bottom="1134" w:left="1701" w:header="709" w:footer="5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9A2D" w14:textId="77777777" w:rsidR="00A31B71" w:rsidRDefault="00A31B71" w:rsidP="005B4D23">
    <w:pPr>
      <w:spacing w:after="0" w:line="240" w:lineRule="auto"/>
      <w:jc w:val="center"/>
      <w:rPr>
        <w:rFonts w:ascii="Times New Roman" w:hAnsi="Times New Roman" w:cs="Times New Roman"/>
        <w:bCs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>______________________________________________________________________________________</w:t>
    </w:r>
  </w:p>
  <w:p w14:paraId="7AE07EA5" w14:textId="77777777" w:rsidR="00A31B71" w:rsidRPr="002567D6" w:rsidRDefault="00A31B71" w:rsidP="005B4D23">
    <w:pPr>
      <w:spacing w:after="0" w:line="240" w:lineRule="auto"/>
      <w:jc w:val="center"/>
      <w:rPr>
        <w:rFonts w:ascii="Times New Roman" w:hAnsi="Times New Roman" w:cs="Times New Roman"/>
        <w:bCs/>
        <w:sz w:val="16"/>
        <w:szCs w:val="16"/>
      </w:rPr>
    </w:pPr>
    <w:r w:rsidRPr="002567D6">
      <w:rPr>
        <w:rFonts w:ascii="Times New Roman" w:hAnsi="Times New Roman" w:cs="Times New Roman"/>
        <w:bCs/>
        <w:sz w:val="16"/>
        <w:szCs w:val="16"/>
      </w:rPr>
      <w:t>Praça João Gonçalves, S/N CEP:65.795-000</w:t>
    </w:r>
  </w:p>
  <w:p w14:paraId="11677907" w14:textId="77777777" w:rsidR="00A31B71" w:rsidRPr="002567D6" w:rsidRDefault="00A31B71" w:rsidP="005B4D23">
    <w:pPr>
      <w:spacing w:after="0" w:line="240" w:lineRule="auto"/>
      <w:jc w:val="center"/>
      <w:rPr>
        <w:rFonts w:ascii="Times New Roman" w:hAnsi="Times New Roman" w:cs="Times New Roman"/>
        <w:bCs/>
        <w:sz w:val="16"/>
        <w:szCs w:val="16"/>
      </w:rPr>
    </w:pPr>
    <w:r w:rsidRPr="002567D6">
      <w:rPr>
        <w:rFonts w:ascii="Times New Roman" w:hAnsi="Times New Roman" w:cs="Times New Roman"/>
        <w:bCs/>
        <w:sz w:val="16"/>
        <w:szCs w:val="16"/>
      </w:rPr>
      <w:t xml:space="preserve">Governador Luiz </w:t>
    </w:r>
    <w:proofErr w:type="spellStart"/>
    <w:r w:rsidRPr="002567D6">
      <w:rPr>
        <w:rFonts w:ascii="Times New Roman" w:hAnsi="Times New Roman" w:cs="Times New Roman"/>
        <w:bCs/>
        <w:sz w:val="16"/>
        <w:szCs w:val="16"/>
      </w:rPr>
      <w:t>Rocha-MA</w:t>
    </w:r>
    <w:proofErr w:type="spellEnd"/>
  </w:p>
  <w:p w14:paraId="499AC966" w14:textId="77777777" w:rsidR="00A31B71" w:rsidRPr="00132B4A" w:rsidRDefault="00A31B71" w:rsidP="005B4D23">
    <w:pPr>
      <w:pStyle w:val="Rodap"/>
    </w:pPr>
  </w:p>
  <w:p w14:paraId="522D2F50" w14:textId="77777777" w:rsidR="00A31B71" w:rsidRDefault="00A31B7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57C5" w14:textId="77777777" w:rsidR="00A31B71" w:rsidRDefault="00A31B71" w:rsidP="00BA6303">
    <w:pPr>
      <w:pStyle w:val="Ttulo2"/>
      <w:spacing w:before="0" w:after="0"/>
      <w:jc w:val="center"/>
      <w:rPr>
        <w:noProof/>
      </w:rPr>
    </w:pPr>
    <w:r w:rsidRPr="00227524">
      <w:rPr>
        <w:noProof/>
      </w:rPr>
      <w:drawing>
        <wp:anchor distT="0" distB="0" distL="114300" distR="114300" simplePos="0" relativeHeight="251660288" behindDoc="0" locked="0" layoutInCell="1" allowOverlap="1" wp14:anchorId="6156BFC4" wp14:editId="5807A5C8">
          <wp:simplePos x="0" y="0"/>
          <wp:positionH relativeFrom="margin">
            <wp:align>center</wp:align>
          </wp:positionH>
          <wp:positionV relativeFrom="paragraph">
            <wp:posOffset>-188595</wp:posOffset>
          </wp:positionV>
          <wp:extent cx="1619250" cy="8477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BEFA7A" w14:textId="77777777" w:rsidR="00A31B71" w:rsidRDefault="00A31B71" w:rsidP="00BA6303">
    <w:pPr>
      <w:pStyle w:val="Ttulo2"/>
      <w:spacing w:before="0" w:after="0"/>
      <w:jc w:val="center"/>
      <w:rPr>
        <w:noProof/>
      </w:rPr>
    </w:pPr>
  </w:p>
  <w:p w14:paraId="3A9C1953" w14:textId="77777777" w:rsidR="00A31B71" w:rsidRDefault="00A31B71" w:rsidP="00BA6303">
    <w:pPr>
      <w:pStyle w:val="Ttulo2"/>
      <w:spacing w:before="0" w:after="0"/>
      <w:jc w:val="center"/>
      <w:rPr>
        <w:rFonts w:ascii="Times New Roman" w:hAnsi="Times New Roman" w:cs="Times New Roman"/>
        <w:sz w:val="20"/>
        <w:szCs w:val="20"/>
      </w:rPr>
    </w:pPr>
  </w:p>
  <w:p w14:paraId="11845A80" w14:textId="77777777" w:rsidR="00A31B71" w:rsidRPr="007C6063" w:rsidRDefault="00A31B71" w:rsidP="00BA6303">
    <w:pPr>
      <w:pStyle w:val="Ttulo2"/>
      <w:spacing w:before="0" w:after="0"/>
      <w:jc w:val="center"/>
      <w:rPr>
        <w:rFonts w:ascii="Arial" w:hAnsi="Arial" w:cs="Arial"/>
        <w:color w:val="auto"/>
        <w:sz w:val="24"/>
        <w:szCs w:val="24"/>
      </w:rPr>
    </w:pPr>
    <w:r w:rsidRPr="007C6063">
      <w:rPr>
        <w:rFonts w:ascii="Arial" w:hAnsi="Arial" w:cs="Arial"/>
        <w:color w:val="auto"/>
        <w:sz w:val="24"/>
        <w:szCs w:val="24"/>
      </w:rPr>
      <w:t>ESTADO DO MARANHÃO</w:t>
    </w:r>
  </w:p>
  <w:p w14:paraId="1D908FB5" w14:textId="77777777" w:rsidR="00A31B71" w:rsidRPr="007C6063" w:rsidRDefault="00A31B71" w:rsidP="00BA6303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7C6063">
      <w:rPr>
        <w:rFonts w:ascii="Arial" w:hAnsi="Arial" w:cs="Arial"/>
        <w:b/>
        <w:sz w:val="24"/>
        <w:szCs w:val="24"/>
      </w:rPr>
      <w:t>PREFEITURA MUNICIPAL DE GOVERNADOR LUIZ ROCHA</w:t>
    </w:r>
  </w:p>
  <w:p w14:paraId="4DE5D6DD" w14:textId="77777777" w:rsidR="00A31B71" w:rsidRPr="007C6063" w:rsidRDefault="00A31B71" w:rsidP="00BA6303">
    <w:pPr>
      <w:spacing w:after="0" w:line="240" w:lineRule="auto"/>
      <w:jc w:val="center"/>
      <w:rPr>
        <w:rFonts w:ascii="Arial" w:hAnsi="Arial" w:cs="Arial"/>
        <w:bCs/>
        <w:sz w:val="20"/>
        <w:szCs w:val="20"/>
      </w:rPr>
    </w:pPr>
    <w:r w:rsidRPr="007C6063">
      <w:rPr>
        <w:rFonts w:ascii="Arial" w:hAnsi="Arial" w:cs="Arial"/>
        <w:bCs/>
        <w:sz w:val="20"/>
        <w:szCs w:val="20"/>
      </w:rPr>
      <w:t xml:space="preserve">CNPJ Nº. </w:t>
    </w:r>
    <w:r w:rsidRPr="007C6063">
      <w:rPr>
        <w:rFonts w:ascii="Arial" w:hAnsi="Arial" w:cs="Arial"/>
        <w:bCs/>
        <w:sz w:val="20"/>
        <w:szCs w:val="20"/>
      </w:rPr>
      <w:t>01.578.554/0001-33</w:t>
    </w:r>
  </w:p>
  <w:p w14:paraId="0570BA66" w14:textId="77777777" w:rsidR="00A31B71" w:rsidRDefault="00A31B71" w:rsidP="00BA6303">
    <w:pPr>
      <w:spacing w:after="0" w:line="240" w:lineRule="auto"/>
      <w:jc w:val="center"/>
    </w:pPr>
    <w:r>
      <w:rPr>
        <w:rFonts w:ascii="Arial" w:hAnsi="Arial"/>
        <w:noProof/>
        <w:sz w:val="20"/>
        <w:szCs w:val="20"/>
        <w:lang w:eastAsia="pt-BR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86FD2DB" wp14:editId="34F8F64C">
              <wp:simplePos x="0" y="0"/>
              <wp:positionH relativeFrom="column">
                <wp:posOffset>91440</wp:posOffset>
              </wp:positionH>
              <wp:positionV relativeFrom="paragraph">
                <wp:posOffset>83819</wp:posOffset>
              </wp:positionV>
              <wp:extent cx="5791200" cy="0"/>
              <wp:effectExtent l="0" t="0" r="0" b="0"/>
              <wp:wrapNone/>
              <wp:docPr id="522461225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051CDA" id="Conector reto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7.2pt,6.6pt" to="463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" strokecolor="#4472c4 [3204]" strokeweight="1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9"/>
    <w:rsid w:val="000B4C05"/>
    <w:rsid w:val="001A6663"/>
    <w:rsid w:val="005A0879"/>
    <w:rsid w:val="00902E8D"/>
    <w:rsid w:val="00A31B71"/>
    <w:rsid w:val="00C65F83"/>
    <w:rsid w:val="00D8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0EAA"/>
  <w15:chartTrackingRefBased/>
  <w15:docId w15:val="{26993A92-6460-4204-8187-82E2EA71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7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08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08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08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08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08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08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08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08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08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A0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0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08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08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0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08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0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0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0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08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0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087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08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087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08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08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0879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qFormat/>
    <w:rsid w:val="005A08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0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879"/>
    <w:rPr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879"/>
    <w:rPr>
      <w:sz w:val="20"/>
      <w:szCs w:val="20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879"/>
    <w:pPr>
      <w:suppressAutoHyphens/>
      <w:spacing w:after="0"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5A0879"/>
    <w:rPr>
      <w:kern w:val="0"/>
      <w:sz w:val="20"/>
      <w:szCs w:val="20"/>
      <w14:ligatures w14:val="none"/>
    </w:rPr>
  </w:style>
  <w:style w:type="paragraph" w:customStyle="1" w:styleId="Standard">
    <w:name w:val="Standard"/>
    <w:rsid w:val="00A31B71"/>
    <w:pPr>
      <w:suppressAutoHyphens/>
      <w:autoSpaceDN w:val="0"/>
      <w:spacing w:after="0" w:line="240" w:lineRule="auto"/>
      <w:textAlignment w:val="baseline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1</cp:revision>
  <dcterms:created xsi:type="dcterms:W3CDTF">2025-05-14T14:00:00Z</dcterms:created>
  <dcterms:modified xsi:type="dcterms:W3CDTF">2025-05-14T15:09:00Z</dcterms:modified>
</cp:coreProperties>
</file>